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231A0" w14:textId="77777777" w:rsidR="00E97F15" w:rsidRPr="00E97F15" w:rsidRDefault="00E97F15" w:rsidP="00E97F15">
      <w:pPr>
        <w:tabs>
          <w:tab w:val="left" w:pos="1077"/>
        </w:tabs>
        <w:spacing w:after="0" w:line="240" w:lineRule="auto"/>
        <w:jc w:val="center"/>
        <w:rPr>
          <w:rFonts w:ascii="Arial" w:hAnsi="Arial" w:cs="Arial"/>
          <w:b/>
          <w:sz w:val="28"/>
          <w:szCs w:val="23"/>
        </w:rPr>
      </w:pPr>
      <w:r w:rsidRPr="00E97F15">
        <w:rPr>
          <w:rFonts w:ascii="Arial" w:hAnsi="Arial" w:cs="Arial"/>
          <w:b/>
          <w:sz w:val="28"/>
          <w:szCs w:val="23"/>
        </w:rPr>
        <w:t>ANEJO C</w:t>
      </w:r>
    </w:p>
    <w:p w14:paraId="6D268DA1" w14:textId="77777777" w:rsidR="00E97F15" w:rsidRPr="00E97F15" w:rsidRDefault="00E97F15" w:rsidP="00E97F15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7B1456C4" w14:textId="77777777" w:rsidR="00E97F15" w:rsidRPr="00E97F15" w:rsidDel="00925EE5" w:rsidRDefault="00E97F15" w:rsidP="00E97F15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56519204" w14:textId="77777777" w:rsidR="00E97F15" w:rsidRPr="00E97F15" w:rsidDel="00925EE5" w:rsidRDefault="00E97F15" w:rsidP="00E97F15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7F15">
        <w:rPr>
          <w:rFonts w:ascii="Arial" w:hAnsi="Arial" w:cs="Arial"/>
          <w:sz w:val="23"/>
          <w:szCs w:val="23"/>
          <w:u w:val="single"/>
        </w:rPr>
        <w:t>[</w:t>
      </w:r>
      <w:r w:rsidRPr="00E97F15" w:rsidDel="00925EE5">
        <w:rPr>
          <w:rFonts w:ascii="Arial" w:hAnsi="Arial" w:cs="Arial"/>
          <w:i/>
          <w:sz w:val="23"/>
          <w:szCs w:val="23"/>
        </w:rPr>
        <w:t>Fecha del Informe de</w:t>
      </w:r>
      <w:r w:rsidRPr="00E97F15">
        <w:rPr>
          <w:rFonts w:ascii="Arial" w:hAnsi="Arial" w:cs="Arial"/>
          <w:i/>
          <w:sz w:val="23"/>
          <w:szCs w:val="23"/>
        </w:rPr>
        <w:t xml:space="preserve"> </w:t>
      </w:r>
      <w:r w:rsidRPr="00E97F15" w:rsidDel="00925EE5">
        <w:rPr>
          <w:rFonts w:ascii="Arial" w:hAnsi="Arial" w:cs="Arial"/>
          <w:i/>
          <w:sz w:val="23"/>
          <w:szCs w:val="23"/>
        </w:rPr>
        <w:t>l</w:t>
      </w:r>
      <w:r w:rsidRPr="00E97F15">
        <w:rPr>
          <w:rFonts w:ascii="Arial" w:hAnsi="Arial" w:cs="Arial"/>
          <w:i/>
          <w:sz w:val="23"/>
          <w:szCs w:val="23"/>
        </w:rPr>
        <w:t>a</w:t>
      </w:r>
      <w:r w:rsidRPr="00E97F15" w:rsidDel="00925EE5">
        <w:rPr>
          <w:rFonts w:ascii="Arial" w:hAnsi="Arial" w:cs="Arial"/>
          <w:i/>
          <w:sz w:val="23"/>
          <w:szCs w:val="23"/>
        </w:rPr>
        <w:t xml:space="preserve"> </w:t>
      </w:r>
      <w:r w:rsidRPr="00E97F15">
        <w:rPr>
          <w:rFonts w:ascii="Arial" w:hAnsi="Arial" w:cs="Arial"/>
          <w:i/>
          <w:sz w:val="23"/>
          <w:szCs w:val="23"/>
        </w:rPr>
        <w:t>Gerencia]</w:t>
      </w:r>
    </w:p>
    <w:p w14:paraId="125B8430" w14:textId="77777777" w:rsidR="00E97F15" w:rsidRPr="00E97F15" w:rsidDel="00925EE5" w:rsidRDefault="00E97F15" w:rsidP="00E97F15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BEAEC05" w14:textId="0048421E" w:rsidR="00E97F15" w:rsidRPr="00E97F15" w:rsidRDefault="00E97F15" w:rsidP="00E97F15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E97F15">
        <w:rPr>
          <w:rFonts w:ascii="Arial" w:hAnsi="Arial" w:cs="Arial"/>
          <w:b/>
          <w:sz w:val="23"/>
          <w:szCs w:val="23"/>
        </w:rPr>
        <w:t>INFORME DE LA GERENCIA SOBRE EL CUMPLIMIENTO CON LAS DISPOSICIONES DE LA SECCIÓN 1101.01 DEL CÓDIGO DE RENTAS INTERNAS DE PUERTO RICO</w:t>
      </w:r>
      <w:r w:rsidR="00617F68">
        <w:rPr>
          <w:rFonts w:ascii="Arial" w:hAnsi="Arial" w:cs="Arial"/>
          <w:b/>
          <w:sz w:val="23"/>
          <w:szCs w:val="23"/>
        </w:rPr>
        <w:t xml:space="preserve"> DE 2011</w:t>
      </w:r>
      <w:r w:rsidRPr="00E97F15">
        <w:rPr>
          <w:rFonts w:ascii="Arial" w:hAnsi="Arial" w:cs="Arial"/>
          <w:b/>
          <w:sz w:val="23"/>
          <w:szCs w:val="23"/>
        </w:rPr>
        <w:t xml:space="preserve">, SEGÚN ENMENDADO, Y LOS REQUISITOS DE LA </w:t>
      </w:r>
      <w:r w:rsidRPr="00C25927">
        <w:rPr>
          <w:rFonts w:ascii="Arial" w:hAnsi="Arial" w:cs="Arial"/>
          <w:b/>
          <w:sz w:val="23"/>
          <w:szCs w:val="23"/>
        </w:rPr>
        <w:t>CARTA CIRCULAR DE RENTAS INTERNAS NÚM. 07-08</w:t>
      </w:r>
      <w:r w:rsidRPr="00E97F15">
        <w:rPr>
          <w:rFonts w:ascii="Arial" w:hAnsi="Arial" w:cs="Arial"/>
          <w:b/>
          <w:sz w:val="23"/>
          <w:szCs w:val="23"/>
        </w:rPr>
        <w:t xml:space="preserve"> APLICABLES A INSTITUCIONES SIN FINES DE LUCRO</w:t>
      </w:r>
    </w:p>
    <w:p w14:paraId="5E6D59B3" w14:textId="77777777" w:rsidR="00E97F15" w:rsidRPr="00E97F15" w:rsidRDefault="00E97F15" w:rsidP="00E97F15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41718B9" w14:textId="77777777" w:rsidR="00E97F15" w:rsidRPr="00E97F15" w:rsidRDefault="00E97F15" w:rsidP="00E97F15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7F15">
        <w:rPr>
          <w:rFonts w:ascii="Arial" w:hAnsi="Arial" w:cs="Arial"/>
          <w:sz w:val="23"/>
          <w:szCs w:val="23"/>
        </w:rPr>
        <w:t>Para la División de Incentivos Contributivos</w:t>
      </w:r>
    </w:p>
    <w:p w14:paraId="251C2BE1" w14:textId="77777777" w:rsidR="00E97F15" w:rsidRPr="00E97F15" w:rsidRDefault="00E97F15" w:rsidP="00E97F15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7F15">
        <w:rPr>
          <w:rFonts w:ascii="Arial" w:hAnsi="Arial" w:cs="Arial"/>
          <w:sz w:val="23"/>
          <w:szCs w:val="23"/>
        </w:rPr>
        <w:t>Adscrita a la Secretaría Auxiliar de Política</w:t>
      </w:r>
    </w:p>
    <w:p w14:paraId="44CC12D5" w14:textId="77777777" w:rsidR="00E97F15" w:rsidRPr="00E97F15" w:rsidRDefault="00E97F15" w:rsidP="00E97F15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7F15">
        <w:rPr>
          <w:rFonts w:ascii="Arial" w:hAnsi="Arial" w:cs="Arial"/>
          <w:sz w:val="23"/>
          <w:szCs w:val="23"/>
        </w:rPr>
        <w:t>Contributiva del Departamento de Hacienda del</w:t>
      </w:r>
    </w:p>
    <w:p w14:paraId="63FB42C7" w14:textId="77777777" w:rsidR="00E97F15" w:rsidRPr="00E97F15" w:rsidRDefault="00E97F15" w:rsidP="00E97F15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7F15">
        <w:rPr>
          <w:rFonts w:ascii="Arial" w:hAnsi="Arial" w:cs="Arial"/>
          <w:sz w:val="23"/>
          <w:szCs w:val="23"/>
        </w:rPr>
        <w:t>Gobierno de Puerto Rico y Junta de Directores de</w:t>
      </w:r>
    </w:p>
    <w:p w14:paraId="393DBE7C" w14:textId="77777777" w:rsidR="00E97F15" w:rsidRPr="00E97F15" w:rsidDel="00925EE5" w:rsidRDefault="00E97F15" w:rsidP="00E97F15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E97F1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[</w:t>
      </w:r>
      <w:r w:rsidRPr="00E97F15">
        <w:rPr>
          <w:rFonts w:ascii="Arial" w:eastAsia="Times New Roman" w:hAnsi="Arial" w:cs="Arial"/>
          <w:i/>
          <w:color w:val="212121"/>
          <w:sz w:val="23"/>
          <w:szCs w:val="23"/>
          <w:lang w:eastAsia="es-PR"/>
        </w:rPr>
        <w:t>Nombre de Entidad Sin Fines de Lucro Solicitante</w:t>
      </w:r>
      <w:r w:rsidRPr="00E97F1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]:</w:t>
      </w:r>
    </w:p>
    <w:p w14:paraId="10C16DFF" w14:textId="77777777" w:rsidR="00E97F15" w:rsidRPr="00E97F15" w:rsidRDefault="00E97F15" w:rsidP="00E97F15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7A58608" w14:textId="74F2CA1C" w:rsidR="00E97F15" w:rsidRPr="00E97F15" w:rsidRDefault="00E97F15" w:rsidP="00E97F15">
      <w:pPr>
        <w:tabs>
          <w:tab w:val="left" w:pos="1077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E97F15">
        <w:rPr>
          <w:rFonts w:ascii="Arial" w:hAnsi="Arial" w:cs="Arial"/>
          <w:sz w:val="23"/>
          <w:szCs w:val="23"/>
        </w:rPr>
        <w:t xml:space="preserve">La gerencia de </w:t>
      </w:r>
      <w:r w:rsidRPr="00E97F1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[</w:t>
      </w:r>
      <w:r w:rsidRPr="00E97F15">
        <w:rPr>
          <w:rFonts w:ascii="Arial" w:eastAsia="Times New Roman" w:hAnsi="Arial" w:cs="Arial"/>
          <w:i/>
          <w:color w:val="212121"/>
          <w:sz w:val="23"/>
          <w:szCs w:val="23"/>
          <w:lang w:eastAsia="es-PR"/>
        </w:rPr>
        <w:t>Nombre de Entidad Sin Fines de Lucro Solicitante</w:t>
      </w:r>
      <w:r w:rsidRPr="00E97F1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] (la “Entidad”) es responsable de cumplir con los requisitos específicos de cumplimiento aplicables a las instituciones sin fines de lucro que solicitan exención contributiva bajo las disposiciones de la </w:t>
      </w:r>
      <w:r w:rsidRPr="00E97F15">
        <w:rPr>
          <w:rFonts w:ascii="Arial" w:hAnsi="Arial" w:cs="Arial"/>
          <w:sz w:val="23"/>
          <w:szCs w:val="23"/>
        </w:rPr>
        <w:t xml:space="preserve">Sección 1101.01 del Código de Rentas Internas de Puerto Rico de 2011, según enmendado (el “Código”), y los requisitos establecidos en la Carta Circular de Rentas Internas Núm. </w:t>
      </w:r>
      <w:r w:rsidRPr="00C25927">
        <w:rPr>
          <w:rFonts w:ascii="Arial" w:hAnsi="Arial" w:cs="Arial"/>
          <w:sz w:val="23"/>
          <w:szCs w:val="23"/>
        </w:rPr>
        <w:t>07-08 (CC 07-08</w:t>
      </w:r>
      <w:r w:rsidRPr="00E97F15">
        <w:rPr>
          <w:rFonts w:ascii="Arial" w:hAnsi="Arial" w:cs="Arial"/>
          <w:sz w:val="23"/>
          <w:szCs w:val="23"/>
        </w:rPr>
        <w:t xml:space="preserve">), </w:t>
      </w:r>
      <w:r w:rsidRPr="00E97F1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durante el proceso de radicación de su Solicitud de Exención Contributiva sometida al Departamento de Hacienda del Gobierno de Puerto Rico (el “Departamento de Hacienda”) mediante la radicación del </w:t>
      </w:r>
      <w:r w:rsidR="00617F68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f</w:t>
      </w:r>
      <w:r w:rsidRPr="00E97F1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ormulario Modelo SC 2645.</w:t>
      </w:r>
    </w:p>
    <w:p w14:paraId="5413DC2A" w14:textId="77777777" w:rsidR="00E97F15" w:rsidRPr="00E97F15" w:rsidRDefault="00E97F15" w:rsidP="00E97F15">
      <w:pPr>
        <w:tabs>
          <w:tab w:val="left" w:pos="1077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18F20962" w14:textId="77777777" w:rsidR="00E97F15" w:rsidRPr="00E97F15" w:rsidRDefault="00E97F15" w:rsidP="00E97F15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7F15">
        <w:rPr>
          <w:rFonts w:ascii="Arial" w:hAnsi="Arial" w:cs="Arial"/>
          <w:sz w:val="23"/>
          <w:szCs w:val="23"/>
        </w:rPr>
        <w:t xml:space="preserve">La gerencia evaluó su cumplimiento con los requisitos específicos aplicables a las instituciones sin fines de lucro que solicitan exención contributiva bajo las disposiciones de la Sección 1101.01 del Código y los requisitos establecidos en </w:t>
      </w:r>
      <w:r w:rsidRPr="00C25927">
        <w:rPr>
          <w:rFonts w:ascii="Arial" w:hAnsi="Arial" w:cs="Arial"/>
          <w:sz w:val="23"/>
          <w:szCs w:val="23"/>
        </w:rPr>
        <w:t>la CC 07-08 al [</w:t>
      </w:r>
      <w:r w:rsidRPr="00E97F1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fecha en que se radicó la solicitud de exención contributiva</w:t>
      </w:r>
      <w:r w:rsidRPr="00E97F15">
        <w:rPr>
          <w:rFonts w:ascii="Arial" w:hAnsi="Arial" w:cs="Arial"/>
          <w:sz w:val="23"/>
          <w:szCs w:val="23"/>
        </w:rPr>
        <w:t>] y mantie</w:t>
      </w:r>
      <w:bookmarkStart w:id="0" w:name="_GoBack"/>
      <w:bookmarkEnd w:id="0"/>
      <w:r w:rsidRPr="00E97F15">
        <w:rPr>
          <w:rFonts w:ascii="Arial" w:hAnsi="Arial" w:cs="Arial"/>
          <w:sz w:val="23"/>
          <w:szCs w:val="23"/>
        </w:rPr>
        <w:t xml:space="preserve">ne récords de sus evaluaciones y determinaciones, según requerido por el </w:t>
      </w:r>
      <w:r w:rsidRPr="00E97F1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Departamento de Hacienda.  A base de su evaluación, la gerencia de la Entidad concluyó que cumplió, en todos </w:t>
      </w:r>
      <w:r w:rsidRPr="00E97F15">
        <w:rPr>
          <w:rFonts w:ascii="Arial" w:hAnsi="Arial" w:cs="Arial"/>
          <w:sz w:val="23"/>
          <w:szCs w:val="23"/>
        </w:rPr>
        <w:t xml:space="preserve">los aspectos significativos, con </w:t>
      </w:r>
      <w:r w:rsidRPr="00E97F1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los requisitos específicos antes descritos</w:t>
      </w:r>
      <w:r w:rsidRPr="00E97F15">
        <w:rPr>
          <w:rFonts w:ascii="Arial" w:hAnsi="Arial" w:cs="Arial"/>
          <w:i/>
          <w:sz w:val="23"/>
          <w:szCs w:val="23"/>
        </w:rPr>
        <w:t>.</w:t>
      </w:r>
    </w:p>
    <w:p w14:paraId="185EAB14" w14:textId="77777777" w:rsidR="00E97F15" w:rsidRPr="00E97F15" w:rsidRDefault="00E97F15" w:rsidP="00E97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02D5D3C5" w14:textId="77777777" w:rsidR="00E97F15" w:rsidRPr="00E97F15" w:rsidRDefault="00E97F15" w:rsidP="00E97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6029D434" w14:textId="77777777" w:rsidR="00E97F15" w:rsidRPr="00E97F15" w:rsidRDefault="00E97F15" w:rsidP="00E97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E97F1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Atentamente,</w:t>
      </w:r>
    </w:p>
    <w:p w14:paraId="10DD50CB" w14:textId="77777777" w:rsidR="00E97F15" w:rsidRPr="00E97F15" w:rsidDel="00925EE5" w:rsidRDefault="00E97F15" w:rsidP="00E97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15712C14" w14:textId="77777777" w:rsidR="00E97F15" w:rsidRPr="00E97F15" w:rsidDel="00925EE5" w:rsidRDefault="00E97F15" w:rsidP="00E97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31B4B4D0" w14:textId="77777777" w:rsidR="00E97F15" w:rsidRPr="00E97F15" w:rsidDel="00925EE5" w:rsidRDefault="00E97F15" w:rsidP="00E97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040"/>
      </w:tblGrid>
      <w:tr w:rsidR="00E97F15" w:rsidRPr="00E97F15" w:rsidDel="00925EE5" w14:paraId="70F875E2" w14:textId="77777777" w:rsidTr="0049068D">
        <w:tc>
          <w:tcPr>
            <w:tcW w:w="5310" w:type="dxa"/>
            <w:tcBorders>
              <w:top w:val="single" w:sz="4" w:space="0" w:color="auto"/>
            </w:tcBorders>
          </w:tcPr>
          <w:p w14:paraId="7C895637" w14:textId="77777777" w:rsidR="00E97F15" w:rsidRPr="00E97F15" w:rsidDel="00925EE5" w:rsidRDefault="00E97F15" w:rsidP="0049068D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  <w:r w:rsidRPr="00E97F15" w:rsidDel="00925EE5"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  <w:t>Firma del Presidente o Principal Oficial Ejecutivo</w:t>
            </w:r>
          </w:p>
        </w:tc>
        <w:tc>
          <w:tcPr>
            <w:tcW w:w="4040" w:type="dxa"/>
          </w:tcPr>
          <w:p w14:paraId="3BBD8733" w14:textId="77777777" w:rsidR="00E97F15" w:rsidRPr="00E97F15" w:rsidDel="00925EE5" w:rsidRDefault="00E97F15" w:rsidP="0049068D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</w:p>
        </w:tc>
      </w:tr>
      <w:tr w:rsidR="00E97F15" w:rsidRPr="00E97F15" w:rsidDel="00925EE5" w14:paraId="7D57A574" w14:textId="77777777" w:rsidTr="0049068D">
        <w:tc>
          <w:tcPr>
            <w:tcW w:w="5310" w:type="dxa"/>
          </w:tcPr>
          <w:p w14:paraId="06CF4E73" w14:textId="77777777" w:rsidR="00E97F15" w:rsidRPr="00E97F15" w:rsidDel="00925EE5" w:rsidRDefault="00E97F15" w:rsidP="0049068D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</w:p>
        </w:tc>
        <w:tc>
          <w:tcPr>
            <w:tcW w:w="4040" w:type="dxa"/>
          </w:tcPr>
          <w:p w14:paraId="5A014241" w14:textId="77777777" w:rsidR="00E97F15" w:rsidRPr="00E97F15" w:rsidDel="00925EE5" w:rsidRDefault="00E97F15" w:rsidP="0049068D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</w:p>
        </w:tc>
      </w:tr>
      <w:tr w:rsidR="00E97F15" w:rsidRPr="00E97F15" w:rsidDel="00925EE5" w14:paraId="75BC38DF" w14:textId="77777777" w:rsidTr="0049068D">
        <w:tc>
          <w:tcPr>
            <w:tcW w:w="5310" w:type="dxa"/>
          </w:tcPr>
          <w:p w14:paraId="26735E49" w14:textId="77777777" w:rsidR="00E97F15" w:rsidRPr="00E97F15" w:rsidDel="00925EE5" w:rsidRDefault="00E97F15" w:rsidP="0049068D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</w:p>
        </w:tc>
        <w:tc>
          <w:tcPr>
            <w:tcW w:w="4040" w:type="dxa"/>
          </w:tcPr>
          <w:p w14:paraId="32F4D5D6" w14:textId="77777777" w:rsidR="00E97F15" w:rsidRPr="00E97F15" w:rsidDel="00925EE5" w:rsidRDefault="00E97F15" w:rsidP="0049068D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</w:p>
        </w:tc>
      </w:tr>
      <w:tr w:rsidR="00E97F15" w:rsidRPr="00E97F15" w:rsidDel="00925EE5" w14:paraId="761A9D0D" w14:textId="77777777" w:rsidTr="0049068D">
        <w:tc>
          <w:tcPr>
            <w:tcW w:w="5310" w:type="dxa"/>
            <w:tcBorders>
              <w:bottom w:val="single" w:sz="4" w:space="0" w:color="auto"/>
            </w:tcBorders>
          </w:tcPr>
          <w:p w14:paraId="50DEC3D0" w14:textId="77777777" w:rsidR="00E97F15" w:rsidRPr="00E97F15" w:rsidDel="00925EE5" w:rsidRDefault="00E97F15" w:rsidP="0049068D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</w:p>
        </w:tc>
        <w:tc>
          <w:tcPr>
            <w:tcW w:w="4040" w:type="dxa"/>
          </w:tcPr>
          <w:p w14:paraId="0D0AE5B2" w14:textId="77777777" w:rsidR="00E97F15" w:rsidRPr="00E97F15" w:rsidDel="00925EE5" w:rsidRDefault="00E97F15" w:rsidP="0049068D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</w:p>
        </w:tc>
      </w:tr>
      <w:tr w:rsidR="00E97F15" w:rsidRPr="00E97F15" w:rsidDel="00925EE5" w14:paraId="432AE17D" w14:textId="77777777" w:rsidTr="0049068D">
        <w:tc>
          <w:tcPr>
            <w:tcW w:w="5310" w:type="dxa"/>
            <w:tcBorders>
              <w:top w:val="single" w:sz="4" w:space="0" w:color="auto"/>
            </w:tcBorders>
          </w:tcPr>
          <w:p w14:paraId="7607EF2F" w14:textId="77777777" w:rsidR="00E97F15" w:rsidRPr="00E97F15" w:rsidDel="00925EE5" w:rsidRDefault="00E97F15" w:rsidP="0049068D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  <w:r w:rsidRPr="00E97F15" w:rsidDel="00925EE5"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  <w:t>Firma del Principal Oficial Financiero</w:t>
            </w:r>
          </w:p>
        </w:tc>
        <w:tc>
          <w:tcPr>
            <w:tcW w:w="4040" w:type="dxa"/>
          </w:tcPr>
          <w:p w14:paraId="296FDAD5" w14:textId="77777777" w:rsidR="00E97F15" w:rsidRPr="00E97F15" w:rsidDel="00925EE5" w:rsidRDefault="00E97F15" w:rsidP="0049068D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</w:p>
        </w:tc>
      </w:tr>
    </w:tbl>
    <w:p w14:paraId="2FED8D6F" w14:textId="77777777" w:rsidR="00732577" w:rsidRPr="00E97F15" w:rsidRDefault="00732577"/>
    <w:sectPr w:rsidR="00732577" w:rsidRPr="00E97F1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4774F" w14:textId="77777777" w:rsidR="008A5918" w:rsidRDefault="008A5918" w:rsidP="00E97F15">
      <w:pPr>
        <w:spacing w:after="0" w:line="240" w:lineRule="auto"/>
      </w:pPr>
      <w:r>
        <w:separator/>
      </w:r>
    </w:p>
  </w:endnote>
  <w:endnote w:type="continuationSeparator" w:id="0">
    <w:p w14:paraId="0ED6DDB8" w14:textId="77777777" w:rsidR="008A5918" w:rsidRDefault="008A5918" w:rsidP="00E9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6D5F" w14:textId="2CD1554D" w:rsidR="00E97F15" w:rsidRDefault="00E97F15" w:rsidP="00E97F15">
    <w:pPr>
      <w:pStyle w:val="Footer"/>
      <w:jc w:val="right"/>
      <w:rPr>
        <w:rFonts w:ascii="Arial" w:hAnsi="Arial" w:cs="Arial"/>
        <w:lang w:val="es-PR"/>
      </w:rPr>
    </w:pPr>
    <w:r w:rsidRPr="00E97F15">
      <w:rPr>
        <w:rFonts w:ascii="Arial" w:hAnsi="Arial" w:cs="Arial"/>
        <w:lang w:val="es-PR"/>
      </w:rPr>
      <w:t>Anejo C</w:t>
    </w:r>
  </w:p>
  <w:p w14:paraId="75C23AEB" w14:textId="51D29138" w:rsidR="00C36343" w:rsidRPr="00E97F15" w:rsidRDefault="00C36343" w:rsidP="00E97F15">
    <w:pPr>
      <w:pStyle w:val="Footer"/>
      <w:jc w:val="right"/>
      <w:rPr>
        <w:rFonts w:ascii="Arial" w:hAnsi="Arial" w:cs="Arial"/>
        <w:lang w:val="es-PR"/>
      </w:rPr>
    </w:pPr>
    <w:r>
      <w:rPr>
        <w:rFonts w:ascii="Arial" w:hAnsi="Arial" w:cs="Arial"/>
        <w:lang w:val="es-PR"/>
      </w:rPr>
      <w:t>Rev. 31 May 18</w:t>
    </w:r>
  </w:p>
  <w:p w14:paraId="6DC68EF8" w14:textId="065F7507" w:rsidR="00E97F15" w:rsidRPr="00E97F15" w:rsidRDefault="00E97F15" w:rsidP="00E97F15">
    <w:pPr>
      <w:pStyle w:val="Footer"/>
      <w:jc w:val="right"/>
      <w:rPr>
        <w:rFonts w:ascii="Arial" w:hAnsi="Arial" w:cs="Arial"/>
        <w:lang w:val="es-PR"/>
      </w:rPr>
    </w:pPr>
    <w:r w:rsidRPr="00E97F15">
      <w:rPr>
        <w:rFonts w:ascii="Arial" w:hAnsi="Arial" w:cs="Arial"/>
        <w:lang w:val="es-PR"/>
      </w:rPr>
      <w:t xml:space="preserve">Pág. </w:t>
    </w:r>
    <w:r w:rsidRPr="00E97F15">
      <w:rPr>
        <w:rFonts w:ascii="Arial" w:hAnsi="Arial" w:cs="Arial"/>
        <w:bCs/>
        <w:lang w:val="es-PR"/>
      </w:rPr>
      <w:fldChar w:fldCharType="begin"/>
    </w:r>
    <w:r w:rsidRPr="00E97F15">
      <w:rPr>
        <w:rFonts w:ascii="Arial" w:hAnsi="Arial" w:cs="Arial"/>
        <w:bCs/>
        <w:lang w:val="es-PR"/>
      </w:rPr>
      <w:instrText xml:space="preserve"> PAGE  \* Arabic  \* MERGEFORMAT </w:instrText>
    </w:r>
    <w:r w:rsidRPr="00E97F15">
      <w:rPr>
        <w:rFonts w:ascii="Arial" w:hAnsi="Arial" w:cs="Arial"/>
        <w:bCs/>
        <w:lang w:val="es-PR"/>
      </w:rPr>
      <w:fldChar w:fldCharType="separate"/>
    </w:r>
    <w:r w:rsidR="00C36343">
      <w:rPr>
        <w:rFonts w:ascii="Arial" w:hAnsi="Arial" w:cs="Arial"/>
        <w:bCs/>
        <w:noProof/>
        <w:lang w:val="es-PR"/>
      </w:rPr>
      <w:t>1</w:t>
    </w:r>
    <w:r w:rsidRPr="00E97F15">
      <w:rPr>
        <w:rFonts w:ascii="Arial" w:hAnsi="Arial" w:cs="Arial"/>
        <w:bCs/>
        <w:lang w:val="es-PR"/>
      </w:rPr>
      <w:fldChar w:fldCharType="end"/>
    </w:r>
    <w:r w:rsidRPr="00E97F15">
      <w:rPr>
        <w:rFonts w:ascii="Arial" w:hAnsi="Arial" w:cs="Arial"/>
        <w:lang w:val="es-PR"/>
      </w:rPr>
      <w:t xml:space="preserve"> </w:t>
    </w:r>
    <w:r>
      <w:rPr>
        <w:rFonts w:ascii="Arial" w:hAnsi="Arial" w:cs="Arial"/>
        <w:lang w:val="es-PR"/>
      </w:rPr>
      <w:t xml:space="preserve">de </w:t>
    </w:r>
    <w:r w:rsidRPr="00E97F15">
      <w:rPr>
        <w:rFonts w:ascii="Arial" w:hAnsi="Arial" w:cs="Arial"/>
        <w:bCs/>
        <w:lang w:val="es-PR"/>
      </w:rPr>
      <w:fldChar w:fldCharType="begin"/>
    </w:r>
    <w:r w:rsidRPr="00E97F15">
      <w:rPr>
        <w:rFonts w:ascii="Arial" w:hAnsi="Arial" w:cs="Arial"/>
        <w:bCs/>
        <w:lang w:val="es-PR"/>
      </w:rPr>
      <w:instrText xml:space="preserve"> NUMPAGES  \* Arabic  \* MERGEFORMAT </w:instrText>
    </w:r>
    <w:r w:rsidRPr="00E97F15">
      <w:rPr>
        <w:rFonts w:ascii="Arial" w:hAnsi="Arial" w:cs="Arial"/>
        <w:bCs/>
        <w:lang w:val="es-PR"/>
      </w:rPr>
      <w:fldChar w:fldCharType="separate"/>
    </w:r>
    <w:r w:rsidR="00C36343">
      <w:rPr>
        <w:rFonts w:ascii="Arial" w:hAnsi="Arial" w:cs="Arial"/>
        <w:bCs/>
        <w:noProof/>
        <w:lang w:val="es-PR"/>
      </w:rPr>
      <w:t>1</w:t>
    </w:r>
    <w:r w:rsidRPr="00E97F15">
      <w:rPr>
        <w:rFonts w:ascii="Arial" w:hAnsi="Arial" w:cs="Arial"/>
        <w:bCs/>
        <w:lang w:val="es-PR"/>
      </w:rPr>
      <w:fldChar w:fldCharType="end"/>
    </w:r>
  </w:p>
  <w:p w14:paraId="0EA95A6B" w14:textId="77777777" w:rsidR="00E97F15" w:rsidRPr="00E97F15" w:rsidRDefault="00E97F15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9C84C" w14:textId="77777777" w:rsidR="008A5918" w:rsidRDefault="008A5918" w:rsidP="00E97F15">
      <w:pPr>
        <w:spacing w:after="0" w:line="240" w:lineRule="auto"/>
      </w:pPr>
      <w:r>
        <w:separator/>
      </w:r>
    </w:p>
  </w:footnote>
  <w:footnote w:type="continuationSeparator" w:id="0">
    <w:p w14:paraId="3D4FB7AB" w14:textId="77777777" w:rsidR="008A5918" w:rsidRDefault="008A5918" w:rsidP="00E97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15"/>
    <w:rsid w:val="000A7B9D"/>
    <w:rsid w:val="00470E16"/>
    <w:rsid w:val="00617F68"/>
    <w:rsid w:val="00732577"/>
    <w:rsid w:val="007661FF"/>
    <w:rsid w:val="00794E1D"/>
    <w:rsid w:val="00871D35"/>
    <w:rsid w:val="008A5918"/>
    <w:rsid w:val="00BE5468"/>
    <w:rsid w:val="00BF2183"/>
    <w:rsid w:val="00C25927"/>
    <w:rsid w:val="00C36343"/>
    <w:rsid w:val="00E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9549"/>
  <w15:docId w15:val="{45223C8C-A37C-41BE-9127-797E88C9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7F15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F15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97F15"/>
  </w:style>
  <w:style w:type="paragraph" w:styleId="Footer">
    <w:name w:val="footer"/>
    <w:basedOn w:val="Normal"/>
    <w:link w:val="FooterChar"/>
    <w:uiPriority w:val="99"/>
    <w:unhideWhenUsed/>
    <w:rsid w:val="00E97F15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15"/>
  </w:style>
  <w:style w:type="table" w:styleId="TableGrid">
    <w:name w:val="Table Grid"/>
    <w:basedOn w:val="TableNormal"/>
    <w:uiPriority w:val="39"/>
    <w:rsid w:val="00E97F15"/>
    <w:rPr>
      <w:rFonts w:asciiTheme="minorHAnsi" w:eastAsiaTheme="minorEastAsia" w:hAnsiTheme="minorHAnsi" w:cstheme="minorBidi"/>
      <w:sz w:val="21"/>
      <w:szCs w:val="21"/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F68"/>
    <w:rPr>
      <w:rFonts w:asciiTheme="minorHAnsi" w:eastAsiaTheme="minorEastAsia" w:hAnsiTheme="minorHAnsi" w:cstheme="minorBidi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F68"/>
    <w:rPr>
      <w:rFonts w:asciiTheme="minorHAnsi" w:eastAsiaTheme="minorEastAsia" w:hAnsiTheme="minorHAnsi" w:cstheme="minorBidi"/>
      <w:b/>
      <w:bCs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68"/>
    <w:rPr>
      <w:rFonts w:ascii="Segoe UI" w:eastAsiaTheme="minorEastAsia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Francisco Pares Alicea</cp:lastModifiedBy>
  <cp:revision>3</cp:revision>
  <dcterms:created xsi:type="dcterms:W3CDTF">2018-05-23T21:14:00Z</dcterms:created>
  <dcterms:modified xsi:type="dcterms:W3CDTF">2018-06-01T19:32:00Z</dcterms:modified>
</cp:coreProperties>
</file>